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B" w:rsidRDefault="00737BE7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944434">
        <w:rPr>
          <w:rFonts w:asciiTheme="majorBidi" w:hAnsiTheme="majorBidi" w:cstheme="majorBidi"/>
          <w:b/>
          <w:bCs/>
          <w:sz w:val="28"/>
          <w:szCs w:val="28"/>
        </w:rPr>
        <w:t xml:space="preserve"> -«</w:t>
      </w:r>
      <w:proofErr w:type="spellStart"/>
      <w:r w:rsidR="00944434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944434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2167EB" w:rsidRDefault="00737BE7">
      <w:pPr>
        <w:pStyle w:val="ac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2167EB" w:rsidRDefault="002167EB">
      <w:pPr>
        <w:pStyle w:val="ac"/>
        <w:ind w:left="-426" w:firstLine="426"/>
        <w:jc w:val="both"/>
        <w:rPr>
          <w:rFonts w:ascii="Times New Roman" w:hAnsi="Times New Roman"/>
          <w:b/>
          <w:bCs/>
          <w:szCs w:val="28"/>
        </w:rPr>
      </w:pPr>
    </w:p>
    <w:p w:rsidR="002167EB" w:rsidRDefault="002167EB">
      <w:pPr>
        <w:pStyle w:val="ac"/>
        <w:jc w:val="both"/>
        <w:rPr>
          <w:rFonts w:ascii="Times New Roman" w:hAnsi="Times New Roman"/>
          <w:bCs/>
          <w:szCs w:val="28"/>
          <w:lang w:val="ru-RU"/>
        </w:rPr>
      </w:pPr>
    </w:p>
    <w:p w:rsidR="002167EB" w:rsidRDefault="008A4C8A" w:rsidP="008A4C8A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Рассмотрено на заседании</w:t>
      </w:r>
      <w:r w:rsidR="00737BE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«УТВЕРЖДАЮ»</w:t>
      </w:r>
    </w:p>
    <w:p w:rsidR="002167EB" w:rsidRDefault="008A4C8A" w:rsidP="008A4C8A">
      <w:pPr>
        <w:suppressAutoHyphens/>
        <w:ind w:hanging="142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Педагогического совета</w:t>
      </w:r>
      <w:r w:rsidR="00737BE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 w:rsidR="00737BE7">
        <w:rPr>
          <w:rFonts w:asciiTheme="majorBidi" w:hAnsiTheme="majorBidi" w:cstheme="majorBidi"/>
          <w:bCs/>
          <w:sz w:val="28"/>
          <w:szCs w:val="28"/>
          <w:lang w:eastAsia="ar-SA"/>
        </w:rPr>
        <w:t>Директор ______________</w:t>
      </w:r>
    </w:p>
    <w:p w:rsidR="002167EB" w:rsidRDefault="008A4C8A" w:rsidP="008A4C8A">
      <w:pPr>
        <w:suppressAutoHyphens/>
        <w:ind w:firstLine="142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№ 19 от29 августа</w:t>
      </w:r>
      <w:r w:rsidR="00737BE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2023года                </w:t>
      </w:r>
      <w:r w:rsidR="00737BE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</w:t>
      </w:r>
      <w:r w:rsidR="00944434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И.Ф.Хасанов</w:t>
      </w:r>
      <w:r w:rsidR="00737BE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2167EB" w:rsidRDefault="00737BE7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430C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2023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2167EB" w:rsidRDefault="002167EB">
      <w:pPr>
        <w:rPr>
          <w:lang w:eastAsia="ar-SA"/>
        </w:rPr>
      </w:pPr>
    </w:p>
    <w:p w:rsidR="002167EB" w:rsidRDefault="002167EB">
      <w:pPr>
        <w:rPr>
          <w:lang w:eastAsia="ar-SA"/>
        </w:rPr>
      </w:pPr>
    </w:p>
    <w:p w:rsidR="002167EB" w:rsidRDefault="002167EB">
      <w:pPr>
        <w:rPr>
          <w:lang w:eastAsia="ar-SA"/>
        </w:rPr>
      </w:pPr>
    </w:p>
    <w:p w:rsidR="002167EB" w:rsidRDefault="002167EB">
      <w:pPr>
        <w:rPr>
          <w:bCs/>
          <w:szCs w:val="28"/>
        </w:rPr>
      </w:pPr>
    </w:p>
    <w:p w:rsidR="002167EB" w:rsidRDefault="002167EB">
      <w:pPr>
        <w:rPr>
          <w:bCs/>
          <w:szCs w:val="28"/>
        </w:rPr>
      </w:pPr>
    </w:p>
    <w:p w:rsidR="002167EB" w:rsidRDefault="002167EB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2167EB" w:rsidRDefault="002167EB">
      <w:pPr>
        <w:ind w:left="-426" w:firstLine="426"/>
        <w:jc w:val="both"/>
        <w:rPr>
          <w:sz w:val="28"/>
          <w:szCs w:val="28"/>
          <w:lang w:eastAsia="ar-SA"/>
        </w:rPr>
      </w:pPr>
    </w:p>
    <w:p w:rsidR="002167EB" w:rsidRDefault="002167EB">
      <w:pPr>
        <w:ind w:left="-426" w:firstLine="426"/>
        <w:jc w:val="both"/>
        <w:rPr>
          <w:sz w:val="28"/>
          <w:szCs w:val="28"/>
          <w:lang w:eastAsia="ar-SA"/>
        </w:rPr>
      </w:pPr>
    </w:p>
    <w:p w:rsidR="002167EB" w:rsidRDefault="00737BE7">
      <w:pPr>
        <w:pStyle w:val="ac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2167EB" w:rsidRDefault="00737BE7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Основы научно-исследовательской деятельности»</w:t>
      </w:r>
    </w:p>
    <w:p w:rsidR="002167EB" w:rsidRDefault="00737BE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2167EB" w:rsidRDefault="00737B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2167EB" w:rsidRDefault="00737BE7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2167EB" w:rsidRDefault="002167EB">
      <w:pPr>
        <w:jc w:val="center"/>
        <w:rPr>
          <w:b/>
          <w:bCs/>
          <w:sz w:val="28"/>
          <w:szCs w:val="28"/>
          <w:lang w:eastAsia="ar-SA"/>
        </w:rPr>
      </w:pPr>
    </w:p>
    <w:p w:rsidR="002167EB" w:rsidRDefault="002167EB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2167EB" w:rsidRDefault="002167EB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2167EB" w:rsidRDefault="002167EB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2167EB" w:rsidRDefault="00737BE7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proofErr w:type="spellStart"/>
      <w:r w:rsidR="00944434">
        <w:rPr>
          <w:bCs/>
          <w:sz w:val="28"/>
          <w:szCs w:val="28"/>
          <w:u w:val="single"/>
        </w:rPr>
        <w:t>Салимова</w:t>
      </w:r>
      <w:proofErr w:type="spellEnd"/>
      <w:r w:rsidR="00944434">
        <w:rPr>
          <w:bCs/>
          <w:sz w:val="28"/>
          <w:szCs w:val="28"/>
          <w:u w:val="single"/>
        </w:rPr>
        <w:t xml:space="preserve"> Ф.К.</w:t>
      </w:r>
      <w:r>
        <w:rPr>
          <w:bCs/>
          <w:sz w:val="28"/>
          <w:szCs w:val="28"/>
          <w:u w:val="single"/>
        </w:rPr>
        <w:t>, преподаватель</w:t>
      </w:r>
    </w:p>
    <w:p w:rsidR="002167EB" w:rsidRDefault="002167EB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2167EB" w:rsidRDefault="002167EB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2167EB">
        <w:trPr>
          <w:trHeight w:val="266"/>
        </w:trPr>
        <w:tc>
          <w:tcPr>
            <w:tcW w:w="5210" w:type="dxa"/>
          </w:tcPr>
          <w:p w:rsidR="002167EB" w:rsidRDefault="00737B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2167EB">
        <w:tc>
          <w:tcPr>
            <w:tcW w:w="5210" w:type="dxa"/>
          </w:tcPr>
          <w:p w:rsidR="002167EB" w:rsidRDefault="007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2167EB" w:rsidRDefault="00737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44434">
              <w:rPr>
                <w:sz w:val="28"/>
                <w:szCs w:val="28"/>
              </w:rPr>
              <w:t xml:space="preserve">                 Хасанова Р.Х.</w:t>
            </w:r>
          </w:p>
          <w:p w:rsidR="002167EB" w:rsidRDefault="00430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_______________2023</w:t>
            </w:r>
            <w:r w:rsidR="00737BE7">
              <w:rPr>
                <w:sz w:val="28"/>
                <w:szCs w:val="28"/>
              </w:rPr>
              <w:t>г.</w:t>
            </w:r>
          </w:p>
          <w:p w:rsidR="002167EB" w:rsidRDefault="002167EB">
            <w:pPr>
              <w:rPr>
                <w:sz w:val="28"/>
                <w:szCs w:val="28"/>
              </w:rPr>
            </w:pPr>
          </w:p>
        </w:tc>
      </w:tr>
    </w:tbl>
    <w:p w:rsidR="002167EB" w:rsidRDefault="002167EB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67EB" w:rsidRDefault="002167EB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67EB" w:rsidRDefault="002167EB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67EB" w:rsidRDefault="002167EB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4C8A" w:rsidRDefault="008A4C8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67EB" w:rsidRDefault="002167EB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67EB" w:rsidRDefault="00944434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Буинск</w:t>
      </w:r>
      <w:r w:rsidR="00AC2E4C">
        <w:rPr>
          <w:b/>
          <w:sz w:val="28"/>
          <w:szCs w:val="28"/>
        </w:rPr>
        <w:t>, 2023</w:t>
      </w:r>
      <w:r w:rsidR="00737BE7">
        <w:rPr>
          <w:b/>
          <w:sz w:val="28"/>
          <w:szCs w:val="28"/>
        </w:rPr>
        <w:t>г.</w:t>
      </w:r>
    </w:p>
    <w:p w:rsidR="002167EB" w:rsidRDefault="00737B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167EB" w:rsidRDefault="00737BE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2167EB" w:rsidRDefault="00737BE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2167EB" w:rsidRDefault="00737BE7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2167EB" w:rsidRDefault="00737BE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2167EB" w:rsidRDefault="00737BE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2167EB" w:rsidRDefault="00737BE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ОПД. 19 Основы научно-исследовательской деятельности</w:t>
      </w:r>
    </w:p>
    <w:p w:rsidR="002167EB" w:rsidRDefault="00737BE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2167EB" w:rsidRDefault="00737BE7">
      <w:pPr>
        <w:pStyle w:val="af1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развитие исследовательской компетентности студентов посредством освоения ими методов научного познания и умений научно-исследовательской деятельности.</w:t>
      </w:r>
    </w:p>
    <w:p w:rsidR="002167EB" w:rsidRDefault="00737BE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2167EB" w:rsidRDefault="00737BE7">
      <w:pPr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ознакомить студентов с основными подходами в выборе темы научного исследования, составлении индивидуального плана, библиографического поиска литературных источников и отбора фактического материала;</w:t>
      </w:r>
    </w:p>
    <w:p w:rsidR="002167EB" w:rsidRDefault="00737BE7">
      <w:pPr>
        <w:pStyle w:val="af1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представить основные знания и навыки научно-богословского исследования;</w:t>
      </w:r>
    </w:p>
    <w:p w:rsidR="002167EB" w:rsidRDefault="00737BE7">
      <w:pPr>
        <w:pStyle w:val="af1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- познакомить с порядком защиты курсовых и дипломных работ.</w:t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2167EB" w:rsidRDefault="00737BE7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дисциплины, способствует развитию у студентов системного понимания феномена исламских наук и источников, качественному выполнению курсовых и выпускных квалификационных работ</w:t>
      </w:r>
      <w:r>
        <w:rPr>
          <w:color w:val="000000"/>
          <w:sz w:val="28"/>
          <w:szCs w:val="28"/>
        </w:rPr>
        <w:t>.</w:t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2167EB" w:rsidRDefault="00737BE7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2167EB" w:rsidRDefault="00737BE7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2167EB" w:rsidRDefault="00737BE7">
      <w:pPr>
        <w:pStyle w:val="af1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знание ключевых канонических исламских источников и умение их анализировать с использованием методологии основных исламских наук.</w:t>
      </w:r>
    </w:p>
    <w:p w:rsidR="002167EB" w:rsidRDefault="00737BE7">
      <w:p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>Регионально-религиозные компетенции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(код – РРК)</w:t>
      </w:r>
    </w:p>
    <w:p w:rsidR="002167EB" w:rsidRDefault="00737BE7">
      <w:pPr>
        <w:pStyle w:val="af1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региональных особенностях распространения популярных исламских источников среди народов Российской Федерации, исповедующих ислам;</w:t>
      </w:r>
    </w:p>
    <w:p w:rsidR="002167EB" w:rsidRDefault="00737BE7">
      <w:pPr>
        <w:pStyle w:val="af1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богословском наследии народов Российской Федерации, исповедующих ислам.</w:t>
      </w:r>
    </w:p>
    <w:p w:rsidR="002167EB" w:rsidRDefault="002167EB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2167EB" w:rsidRDefault="00737BE7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2167EB" w:rsidRDefault="00737BE7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1705"/>
        <w:gridCol w:w="1715"/>
      </w:tblGrid>
      <w:tr w:rsidR="002167EB">
        <w:trPr>
          <w:trHeight w:val="371"/>
        </w:trPr>
        <w:tc>
          <w:tcPr>
            <w:tcW w:w="5316" w:type="dxa"/>
            <w:vMerge w:val="restart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1738" w:type="dxa"/>
            <w:vMerge w:val="restart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часов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59" w:type="dxa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2167EB">
        <w:trPr>
          <w:trHeight w:val="285"/>
        </w:trPr>
        <w:tc>
          <w:tcPr>
            <w:tcW w:w="5316" w:type="dxa"/>
            <w:vMerge/>
            <w:vAlign w:val="center"/>
          </w:tcPr>
          <w:p w:rsidR="002167EB" w:rsidRDefault="002167EB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vAlign w:val="center"/>
          </w:tcPr>
          <w:p w:rsidR="002167EB" w:rsidRDefault="002167EB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2167EB">
        <w:trPr>
          <w:trHeight w:val="435"/>
        </w:trPr>
        <w:tc>
          <w:tcPr>
            <w:tcW w:w="5316" w:type="dxa"/>
            <w:vMerge/>
            <w:vAlign w:val="center"/>
          </w:tcPr>
          <w:p w:rsidR="002167EB" w:rsidRDefault="002167EB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38" w:type="dxa"/>
            <w:vMerge/>
            <w:vAlign w:val="center"/>
          </w:tcPr>
          <w:p w:rsidR="002167EB" w:rsidRDefault="002167EB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167EB">
        <w:trPr>
          <w:trHeight w:val="275"/>
        </w:trPr>
        <w:tc>
          <w:tcPr>
            <w:tcW w:w="5316" w:type="dxa"/>
            <w:vAlign w:val="center"/>
          </w:tcPr>
          <w:p w:rsidR="002167EB" w:rsidRDefault="00737BE7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1738" w:type="dxa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</w:p>
        </w:tc>
      </w:tr>
      <w:tr w:rsidR="002167EB">
        <w:trPr>
          <w:trHeight w:val="224"/>
        </w:trPr>
        <w:tc>
          <w:tcPr>
            <w:tcW w:w="5316" w:type="dxa"/>
            <w:vAlign w:val="center"/>
          </w:tcPr>
          <w:p w:rsidR="002167EB" w:rsidRDefault="00737BE7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1738" w:type="dxa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17</w:t>
            </w:r>
          </w:p>
        </w:tc>
      </w:tr>
      <w:tr w:rsidR="002167EB">
        <w:trPr>
          <w:trHeight w:val="237"/>
        </w:trPr>
        <w:tc>
          <w:tcPr>
            <w:tcW w:w="5316" w:type="dxa"/>
            <w:vAlign w:val="center"/>
          </w:tcPr>
          <w:p w:rsidR="002167EB" w:rsidRDefault="00737BE7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1738" w:type="dxa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</w:p>
        </w:tc>
      </w:tr>
      <w:tr w:rsidR="002167EB">
        <w:trPr>
          <w:trHeight w:val="70"/>
        </w:trPr>
        <w:tc>
          <w:tcPr>
            <w:tcW w:w="7054" w:type="dxa"/>
            <w:gridSpan w:val="2"/>
            <w:vAlign w:val="center"/>
          </w:tcPr>
          <w:p w:rsidR="002167EB" w:rsidRDefault="00737BE7">
            <w:pPr>
              <w:spacing w:line="23" w:lineRule="atLeas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работа/зачет/экзамен)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контрольная работа</w:t>
            </w:r>
          </w:p>
        </w:tc>
      </w:tr>
    </w:tbl>
    <w:p w:rsidR="002167EB" w:rsidRDefault="002167EB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pPr w:leftFromText="180" w:rightFromText="180" w:vertAnchor="text" w:tblpY="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184"/>
        <w:gridCol w:w="1560"/>
        <w:gridCol w:w="1701"/>
      </w:tblGrid>
      <w:tr w:rsidR="002167EB"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84" w:type="dxa"/>
            <w:tcBorders>
              <w:right w:val="single" w:sz="4" w:space="0" w:color="000000"/>
            </w:tcBorders>
            <w:vAlign w:val="center"/>
          </w:tcPr>
          <w:p w:rsidR="002167EB" w:rsidRDefault="00737BE7">
            <w:pPr>
              <w:spacing w:line="23" w:lineRule="atLeas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и содержание тем занятий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Аудит.</w:t>
            </w:r>
          </w:p>
          <w:p w:rsidR="002167EB" w:rsidRDefault="00737BE7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занятия (часы)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работа (часы)</w:t>
            </w:r>
          </w:p>
        </w:tc>
      </w:tr>
      <w:tr w:rsidR="002167EB"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 в дисциплину.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2167EB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67EB"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библиографии.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167EB"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Оформление сносок и ссылок.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167EB">
        <w:trPr>
          <w:trHeight w:val="423"/>
        </w:trPr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введения научно-богословского исследования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167EB">
        <w:trPr>
          <w:trHeight w:val="642"/>
        </w:trPr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научно-богословского исследования.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167EB">
        <w:trPr>
          <w:trHeight w:val="565"/>
        </w:trPr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заключения научно-богословского исследования.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167EB">
        <w:trPr>
          <w:trHeight w:val="956"/>
        </w:trPr>
        <w:tc>
          <w:tcPr>
            <w:tcW w:w="594" w:type="dxa"/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научно-богословского исследования.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167EB">
        <w:trPr>
          <w:trHeight w:val="558"/>
        </w:trPr>
        <w:tc>
          <w:tcPr>
            <w:tcW w:w="594" w:type="dxa"/>
          </w:tcPr>
          <w:p w:rsidR="002167EB" w:rsidRDefault="002167EB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4" w:type="dxa"/>
            <w:tcBorders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167EB" w:rsidRDefault="00737BE7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</w:p>
        </w:tc>
      </w:tr>
    </w:tbl>
    <w:p w:rsidR="002167EB" w:rsidRDefault="002167EB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2167EB" w:rsidRDefault="00737BE7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 в дисциплину.</w:t>
      </w:r>
      <w:r>
        <w:rPr>
          <w:sz w:val="28"/>
          <w:szCs w:val="28"/>
        </w:rPr>
        <w:t xml:space="preserve">  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дисциплины. Понятие «источник», отличие источника от исследования, значение источников в исследовании, проблема классификации источников, методика работы с источниками, источники ислама.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Оформление библиографии.</w:t>
      </w:r>
      <w:r>
        <w:rPr>
          <w:sz w:val="28"/>
          <w:szCs w:val="28"/>
        </w:rPr>
        <w:t xml:space="preserve"> 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научно-богословского исследования. Виды исследований и источников. Понятие </w:t>
      </w:r>
      <w:proofErr w:type="spellStart"/>
      <w:r>
        <w:rPr>
          <w:sz w:val="28"/>
          <w:szCs w:val="28"/>
        </w:rPr>
        <w:t>тахкык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тахзиб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мухтасар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шарх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матн</w:t>
      </w:r>
      <w:proofErr w:type="spellEnd"/>
      <w:r>
        <w:rPr>
          <w:sz w:val="28"/>
          <w:szCs w:val="28"/>
        </w:rPr>
        <w:t>.</w:t>
      </w:r>
    </w:p>
    <w:p w:rsidR="002167EB" w:rsidRDefault="00737BE7">
      <w:pPr>
        <w:spacing w:line="23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Оформление сносок и ссылок</w:t>
      </w:r>
      <w:r>
        <w:rPr>
          <w:rFonts w:eastAsia="Calibri"/>
          <w:sz w:val="28"/>
          <w:szCs w:val="28"/>
        </w:rPr>
        <w:t xml:space="preserve">. </w:t>
      </w:r>
    </w:p>
    <w:p w:rsidR="002167EB" w:rsidRDefault="00737BE7">
      <w:pPr>
        <w:spacing w:line="23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Виды сносок. Ссылки на Коран, сборники хадисов, перевод смыслов Корана и хадисов, </w:t>
      </w:r>
      <w:proofErr w:type="spellStart"/>
      <w:r>
        <w:rPr>
          <w:rFonts w:eastAsia="Calibri"/>
          <w:sz w:val="28"/>
          <w:szCs w:val="28"/>
        </w:rPr>
        <w:t>арабоязычные</w:t>
      </w:r>
      <w:proofErr w:type="spellEnd"/>
      <w:r>
        <w:rPr>
          <w:rFonts w:eastAsia="Calibri"/>
          <w:sz w:val="28"/>
          <w:szCs w:val="28"/>
        </w:rPr>
        <w:t xml:space="preserve"> произведения.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Оформление введения научно-богословского исследования</w:t>
      </w:r>
      <w:r>
        <w:rPr>
          <w:sz w:val="28"/>
          <w:szCs w:val="28"/>
        </w:rPr>
        <w:t xml:space="preserve">. 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исследования, цель, задачи, предмет, объект, другие элементы введения.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научно-богословского исследования</w:t>
      </w:r>
      <w:r>
        <w:rPr>
          <w:sz w:val="28"/>
          <w:szCs w:val="28"/>
        </w:rPr>
        <w:t xml:space="preserve">. 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содержания, основная часть, разделение на главы и разделы, структура главы и раздела. Технические параметры. Подготовка плана.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Оформление заключения научно-богословского исследования</w:t>
      </w:r>
      <w:r>
        <w:rPr>
          <w:sz w:val="28"/>
          <w:szCs w:val="28"/>
        </w:rPr>
        <w:t xml:space="preserve">. </w:t>
      </w:r>
    </w:p>
    <w:p w:rsidR="002167EB" w:rsidRDefault="00737BE7">
      <w:pPr>
        <w:spacing w:line="23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Элементы заключения, обобщение, выводы. Подведение итогов.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научно-богословского исследования</w:t>
      </w:r>
      <w:r>
        <w:rPr>
          <w:sz w:val="28"/>
          <w:szCs w:val="28"/>
        </w:rPr>
        <w:t xml:space="preserve">. </w:t>
      </w:r>
    </w:p>
    <w:p w:rsidR="002167EB" w:rsidRDefault="00737BE7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Исламские особенности исследования, восхваления, благословления, сокращения, оформление арабских текстов, богословские титулы и степени.</w:t>
      </w:r>
    </w:p>
    <w:p w:rsidR="002167EB" w:rsidRDefault="002167EB">
      <w:pPr>
        <w:tabs>
          <w:tab w:val="left" w:pos="2095"/>
        </w:tabs>
        <w:spacing w:line="23" w:lineRule="atLeast"/>
        <w:ind w:firstLine="680"/>
        <w:rPr>
          <w:sz w:val="28"/>
          <w:szCs w:val="28"/>
        </w:rPr>
      </w:pPr>
    </w:p>
    <w:p w:rsidR="002167EB" w:rsidRDefault="00737BE7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2167EB" w:rsidRDefault="00737BE7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7"/>
          <w:b/>
          <w:sz w:val="28"/>
          <w:szCs w:val="28"/>
        </w:rPr>
        <w:footnoteReference w:id="1"/>
      </w:r>
    </w:p>
    <w:p w:rsidR="002167EB" w:rsidRDefault="00737BE7">
      <w:pPr>
        <w:spacing w:line="23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Основы научно-исследовательской деятельности</w:t>
      </w:r>
      <w:r>
        <w:rPr>
          <w:sz w:val="28"/>
          <w:szCs w:val="28"/>
        </w:rPr>
        <w:t xml:space="preserve">» - лекции и практические занятия. Лекционные занятия направлены на ознакомление студентов с правилами </w:t>
      </w:r>
      <w:r>
        <w:rPr>
          <w:color w:val="000000"/>
          <w:sz w:val="28"/>
          <w:szCs w:val="28"/>
        </w:rPr>
        <w:t>написания курсовых и квалификационных работ по исламскому богословию</w:t>
      </w:r>
      <w:proofErr w:type="gramStart"/>
      <w:r>
        <w:rPr>
          <w:sz w:val="28"/>
          <w:szCs w:val="28"/>
        </w:rPr>
        <w:t>..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2167EB" w:rsidRDefault="00737BE7">
      <w:pPr>
        <w:pStyle w:val="a5"/>
        <w:spacing w:after="0" w:line="2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 и на промежуточной аттестации студентов.</w:t>
      </w:r>
    </w:p>
    <w:p w:rsidR="002167EB" w:rsidRDefault="00737BE7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контрольной работы.</w:t>
      </w:r>
    </w:p>
    <w:p w:rsidR="002167EB" w:rsidRDefault="00737BE7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7"/>
          <w:b/>
          <w:sz w:val="28"/>
          <w:szCs w:val="28"/>
        </w:rPr>
        <w:footnoteReference w:id="2"/>
      </w:r>
    </w:p>
    <w:p w:rsidR="002167EB" w:rsidRDefault="00737BE7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практических занятиях предполагает активную работу с источниками и исследованиями, в частности на арабском языке, а также отработку практических навыков написания курсовых и квалификационных работ. Некоторые практические занятия проводятся в библиотеке.</w:t>
      </w:r>
    </w:p>
    <w:p w:rsidR="002167EB" w:rsidRDefault="00737BE7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терминами необходимо обращаться к словарям, в том числе доступным в сети Интернет. Студентам рекомендуется на протяжении всего курса записывать все незнакомые термины, названия источников и имена авторов в словарик, составленный по алфавитному принципу, знакомиться с упомянутыми источниками в оригинале и переводах в библиотеках или с помощью электронных ресурсов в компьютерной лаборатории и в Интернете.</w:t>
      </w:r>
    </w:p>
    <w:p w:rsidR="002167EB" w:rsidRDefault="00737BE7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стоит обращаться к соответствующим источникам (учебникам, монографиям, статьям).</w:t>
      </w:r>
    </w:p>
    <w:p w:rsidR="002167EB" w:rsidRDefault="00737BE7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2167EB" w:rsidRDefault="00737BE7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2167EB" w:rsidRDefault="00737BE7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2167EB" w:rsidRDefault="00737BE7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по дисциплине “Основы научно-богословской деятельности” включает в себя следующее: </w:t>
      </w:r>
    </w:p>
    <w:p w:rsidR="002167EB" w:rsidRDefault="00737BE7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2167EB" w:rsidRDefault="00737BE7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2167EB" w:rsidRDefault="00737BE7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занятиям.</w:t>
      </w:r>
    </w:p>
    <w:p w:rsidR="002167EB" w:rsidRDefault="00737BE7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2167EB" w:rsidRDefault="00737BE7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7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2167EB" w:rsidRDefault="00737BE7">
      <w:pPr>
        <w:spacing w:line="23" w:lineRule="atLeast"/>
        <w:rPr>
          <w:b/>
          <w:sz w:val="28"/>
          <w:szCs w:val="28"/>
        </w:rPr>
      </w:pPr>
      <w:proofErr w:type="spellStart"/>
      <w:r>
        <w:rPr>
          <w:bCs/>
          <w:sz w:val="28"/>
          <w:szCs w:val="28"/>
        </w:rPr>
        <w:t>Замалиева</w:t>
      </w:r>
      <w:proofErr w:type="spellEnd"/>
      <w:r>
        <w:rPr>
          <w:bCs/>
          <w:sz w:val="28"/>
          <w:szCs w:val="28"/>
        </w:rPr>
        <w:t xml:space="preserve"> Г.Х. Методические указания по выполнению курсовых и выпускных квалификационных работ / Г.Х. </w:t>
      </w:r>
      <w:proofErr w:type="spellStart"/>
      <w:r>
        <w:rPr>
          <w:bCs/>
          <w:sz w:val="28"/>
          <w:szCs w:val="28"/>
        </w:rPr>
        <w:t>Замалиева</w:t>
      </w:r>
      <w:proofErr w:type="spellEnd"/>
      <w:r>
        <w:rPr>
          <w:bCs/>
          <w:sz w:val="28"/>
          <w:szCs w:val="28"/>
        </w:rPr>
        <w:t xml:space="preserve"> - Казань: типография КИУ, 2019. 40 с.</w:t>
      </w:r>
    </w:p>
    <w:p w:rsidR="002167EB" w:rsidRDefault="00737BE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7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Веревкин А.Н. Как оформить библиографию к научной работе: Методическое пособие / А.Н. Веревкин. - М., 1992.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Галолузова</w:t>
      </w:r>
      <w:proofErr w:type="spellEnd"/>
      <w:r>
        <w:rPr>
          <w:color w:val="000000"/>
          <w:sz w:val="28"/>
          <w:szCs w:val="28"/>
        </w:rPr>
        <w:t xml:space="preserve"> Ю.Н. Азбука студента / Ю.Н. </w:t>
      </w:r>
      <w:proofErr w:type="spellStart"/>
      <w:r>
        <w:rPr>
          <w:color w:val="000000"/>
          <w:sz w:val="28"/>
          <w:szCs w:val="28"/>
        </w:rPr>
        <w:t>Галолузова</w:t>
      </w:r>
      <w:proofErr w:type="spellEnd"/>
      <w:r>
        <w:rPr>
          <w:color w:val="000000"/>
          <w:sz w:val="28"/>
          <w:szCs w:val="28"/>
        </w:rPr>
        <w:t xml:space="preserve">, Г.Н. </w:t>
      </w:r>
      <w:proofErr w:type="spellStart"/>
      <w:r>
        <w:rPr>
          <w:color w:val="000000"/>
          <w:sz w:val="28"/>
          <w:szCs w:val="28"/>
        </w:rPr>
        <w:t>Штинова</w:t>
      </w:r>
      <w:proofErr w:type="spellEnd"/>
      <w:r>
        <w:rPr>
          <w:color w:val="000000"/>
          <w:sz w:val="28"/>
          <w:szCs w:val="28"/>
        </w:rPr>
        <w:t>. - М., 2000.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Демидова А.К. Научный стиль. Оформление научной работы / А.К. Демидова. - М., 1991.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Рогожкин Ю.М. Подготовка и защита письменных работ / Учебно-практическое пособие / Ю.М. Рогожкин. - М., 2001.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Усачев И.В. Методика поиска научной литературы, чтения и составления обзора по теме исследования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Проведение информационного этапа научно-исследовательской работы / И.В. Усачев, И.И. Ильясов. - М., 1980.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Ануфриев А.Ф. Научное исследование. Курсовые, дипломные и диссертационные работы / А.Ф.Ануфриев. - М., 2002.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Ахманова О.С. К вопросу об основных понятиях метаязыка лингвистики / О.С. Ахманова // Вопросы языкознания. - 1961. - №5.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Ахманова О.С. Основы компонентного анализа / О.С. Ахманова. - М., 1969.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Копнин</w:t>
      </w:r>
      <w:proofErr w:type="spellEnd"/>
      <w:r>
        <w:rPr>
          <w:color w:val="000000"/>
          <w:sz w:val="28"/>
          <w:szCs w:val="28"/>
        </w:rPr>
        <w:t xml:space="preserve"> П.В. Гносеологические и логические основы науки / П.В. </w:t>
      </w:r>
      <w:proofErr w:type="spellStart"/>
      <w:r>
        <w:rPr>
          <w:color w:val="000000"/>
          <w:sz w:val="28"/>
          <w:szCs w:val="28"/>
        </w:rPr>
        <w:t>Копнин</w:t>
      </w:r>
      <w:proofErr w:type="spellEnd"/>
      <w:r>
        <w:rPr>
          <w:color w:val="000000"/>
          <w:sz w:val="28"/>
          <w:szCs w:val="28"/>
        </w:rPr>
        <w:t>. - М., 1974.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Кузнецов И.Н. Рефераты, курсовые и дипломные работы: Методика подготовки и оформления / И.Н.Кузнецов. - М., 2002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Кун Т. Структура научных революций / Т. Кун.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Прогресс, 1983.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>
        <w:rPr>
          <w:color w:val="000000"/>
          <w:sz w:val="28"/>
          <w:szCs w:val="28"/>
        </w:rPr>
        <w:t>Лакатос</w:t>
      </w:r>
      <w:proofErr w:type="spellEnd"/>
      <w:r>
        <w:rPr>
          <w:color w:val="000000"/>
          <w:sz w:val="28"/>
          <w:szCs w:val="28"/>
        </w:rPr>
        <w:t xml:space="preserve"> И. Доказательность и опровержения / И. </w:t>
      </w:r>
      <w:proofErr w:type="spellStart"/>
      <w:r>
        <w:rPr>
          <w:color w:val="000000"/>
          <w:sz w:val="28"/>
          <w:szCs w:val="28"/>
        </w:rPr>
        <w:t>Лакатос</w:t>
      </w:r>
      <w:proofErr w:type="spellEnd"/>
      <w:r>
        <w:rPr>
          <w:color w:val="000000"/>
          <w:sz w:val="28"/>
          <w:szCs w:val="28"/>
        </w:rPr>
        <w:t>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Прогресс, 1967.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Поппер К. Логика и рост научного знания / К. Поппер.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Прогресс, 1983.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spellStart"/>
      <w:r>
        <w:rPr>
          <w:color w:val="000000"/>
          <w:sz w:val="28"/>
          <w:szCs w:val="28"/>
        </w:rPr>
        <w:t>Файерабенд</w:t>
      </w:r>
      <w:proofErr w:type="spellEnd"/>
      <w:r>
        <w:rPr>
          <w:color w:val="000000"/>
          <w:sz w:val="28"/>
          <w:szCs w:val="28"/>
        </w:rPr>
        <w:t xml:space="preserve"> П. Избранные труды по методологии науки / П. </w:t>
      </w:r>
      <w:proofErr w:type="spellStart"/>
      <w:r>
        <w:rPr>
          <w:color w:val="000000"/>
          <w:sz w:val="28"/>
          <w:szCs w:val="28"/>
        </w:rPr>
        <w:t>Файерабенд</w:t>
      </w:r>
      <w:proofErr w:type="spellEnd"/>
      <w:r>
        <w:rPr>
          <w:color w:val="000000"/>
          <w:sz w:val="28"/>
          <w:szCs w:val="28"/>
        </w:rPr>
        <w:t>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Прогресс, 1986.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Эхо Ю. Письменные работы в вузах. Практическое руководство для всех, кто пишет дипломные, курсовые, контрольные, доклады, рефераты, диссертации. / Ю.Эхо. - М., 2001.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Андреев В.И. Педагогика: Учебный курс для творческого саморазвития. – 3-е изд. – Казань: Центр инновационных технологий, 2006. – 606 с.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Анисимов В.В. Общие основы педагогики: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ля вузов / В.В. Анисимов, О.Г. </w:t>
      </w:r>
      <w:proofErr w:type="spellStart"/>
      <w:r>
        <w:rPr>
          <w:color w:val="000000"/>
          <w:sz w:val="28"/>
          <w:szCs w:val="28"/>
        </w:rPr>
        <w:t>Грохольская</w:t>
      </w:r>
      <w:proofErr w:type="spellEnd"/>
      <w:r>
        <w:rPr>
          <w:color w:val="000000"/>
          <w:sz w:val="28"/>
          <w:szCs w:val="28"/>
        </w:rPr>
        <w:t>, Н.Д. Никандров. – М.: Просвещение, 2006. – 574 с.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proofErr w:type="spellStart"/>
      <w:r>
        <w:rPr>
          <w:color w:val="000000"/>
          <w:sz w:val="28"/>
          <w:szCs w:val="28"/>
        </w:rPr>
        <w:t>Бережнова</w:t>
      </w:r>
      <w:proofErr w:type="spellEnd"/>
      <w:r>
        <w:rPr>
          <w:color w:val="000000"/>
          <w:sz w:val="28"/>
          <w:szCs w:val="28"/>
        </w:rPr>
        <w:t xml:space="preserve"> Е.В. Основы учебно-исследовательской деятельности студентов: Учебник для студ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 xml:space="preserve">бразовательных учреждений среднего проф.образования / </w:t>
      </w:r>
      <w:proofErr w:type="spellStart"/>
      <w:r>
        <w:rPr>
          <w:color w:val="000000"/>
          <w:sz w:val="28"/>
          <w:szCs w:val="28"/>
        </w:rPr>
        <w:t>Бережнова</w:t>
      </w:r>
      <w:proofErr w:type="spellEnd"/>
      <w:r>
        <w:rPr>
          <w:color w:val="000000"/>
          <w:sz w:val="28"/>
          <w:szCs w:val="28"/>
        </w:rPr>
        <w:t xml:space="preserve"> Е.В., 2005. - 124 с.</w:t>
      </w:r>
    </w:p>
    <w:p w:rsidR="002167EB" w:rsidRDefault="00737B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proofErr w:type="spellStart"/>
      <w:r>
        <w:rPr>
          <w:color w:val="000000"/>
          <w:sz w:val="28"/>
          <w:szCs w:val="28"/>
        </w:rPr>
        <w:t>Борытко</w:t>
      </w:r>
      <w:proofErr w:type="spellEnd"/>
      <w:r>
        <w:rPr>
          <w:color w:val="000000"/>
          <w:sz w:val="28"/>
          <w:szCs w:val="28"/>
        </w:rPr>
        <w:t>, Н. М. Диагностическая деятельность педагога: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для студ. вузов / Н. М. </w:t>
      </w:r>
      <w:proofErr w:type="spellStart"/>
      <w:r>
        <w:rPr>
          <w:color w:val="000000"/>
          <w:sz w:val="28"/>
          <w:szCs w:val="28"/>
        </w:rPr>
        <w:t>Борытко</w:t>
      </w:r>
      <w:proofErr w:type="spellEnd"/>
      <w:r>
        <w:rPr>
          <w:color w:val="000000"/>
          <w:sz w:val="28"/>
          <w:szCs w:val="28"/>
        </w:rPr>
        <w:t xml:space="preserve">; под ред. В.А. </w:t>
      </w:r>
      <w:proofErr w:type="spellStart"/>
      <w:r>
        <w:rPr>
          <w:color w:val="000000"/>
          <w:sz w:val="28"/>
          <w:szCs w:val="28"/>
        </w:rPr>
        <w:t>Сластёнина</w:t>
      </w:r>
      <w:proofErr w:type="spellEnd"/>
      <w:r>
        <w:rPr>
          <w:color w:val="000000"/>
          <w:sz w:val="28"/>
          <w:szCs w:val="28"/>
        </w:rPr>
        <w:t>, И.А. Колесниковой, 2006. - 284 с.</w:t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7"/>
          <w:b/>
          <w:sz w:val="28"/>
          <w:szCs w:val="28"/>
        </w:rPr>
        <w:footnoteReference w:id="5"/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Для обеспечения дисциплины необходима аудитория, оборудованная аудиовизуальными средствами обучения (диапроектор, видеосистемы для просмотра CD-дисков, стенды), компьютер, копировальная техника</w:t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2167EB" w:rsidRDefault="00737BE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Текущий контроль </w:t>
      </w:r>
      <w:r>
        <w:rPr>
          <w:color w:val="000000"/>
          <w:sz w:val="28"/>
          <w:szCs w:val="28"/>
        </w:rPr>
        <w:t xml:space="preserve">предполагает написание реферата. </w:t>
      </w:r>
    </w:p>
    <w:p w:rsidR="002167EB" w:rsidRDefault="00737BE7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Критерии оценки реферата следующие: соответствие содержания выбранной теме, актуальность содержания, глубина и полнота анализа, информационная насыщенность, структурная организованность, логичность, грамматическая правильность, убедительность, аргументированность предложений и выводов, сделанных в реферате.</w:t>
      </w:r>
    </w:p>
    <w:p w:rsidR="002167EB" w:rsidRDefault="00737BE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Примерные вопросы к контрольной работе: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Учебные научные работы.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Документальные источники информации.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Информационно-библиографические ресурсы.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Анализ источников информации.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Поиск информации.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Особенности применения Интернета.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Композиция научного произведения.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Рубрикация текста.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Правила оформления текстовых материалов.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Библиографические материалы.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Правила оформления библиографических материалов.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Язык и стиль научной работы.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Исламские источники. 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Главные принципы отбора исламских источников.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Применение компьютерных технологий.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Подготовка защиты. 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Особенности процесса защиты курсовой.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Роль научного руководителя.</w:t>
      </w:r>
    </w:p>
    <w:p w:rsidR="002167EB" w:rsidRDefault="00737BE7">
      <w:pPr>
        <w:pStyle w:val="af1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Применение материалов курсовой и дипломной работы. Развитие темы.</w:t>
      </w:r>
    </w:p>
    <w:sectPr w:rsidR="002167EB" w:rsidSect="008A4C8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74" w:rsidRDefault="00374F74">
      <w:r>
        <w:separator/>
      </w:r>
    </w:p>
  </w:endnote>
  <w:endnote w:type="continuationSeparator" w:id="0">
    <w:p w:rsidR="00374F74" w:rsidRDefault="0037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74" w:rsidRDefault="00374F74">
      <w:r>
        <w:separator/>
      </w:r>
    </w:p>
  </w:footnote>
  <w:footnote w:type="continuationSeparator" w:id="0">
    <w:p w:rsidR="00374F74" w:rsidRDefault="00374F74">
      <w:r>
        <w:continuationSeparator/>
      </w:r>
    </w:p>
  </w:footnote>
  <w:footnote w:id="1">
    <w:p w:rsidR="002167EB" w:rsidRDefault="00737BE7">
      <w:pPr>
        <w:pStyle w:val="a8"/>
      </w:pPr>
      <w:r>
        <w:rPr>
          <w:rStyle w:val="a7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2167EB" w:rsidRDefault="00737BE7">
      <w:pPr>
        <w:pStyle w:val="a8"/>
      </w:pPr>
      <w:r>
        <w:rPr>
          <w:rStyle w:val="a7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2167EB" w:rsidRDefault="00737BE7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2167EB" w:rsidRDefault="00737BE7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2167EB" w:rsidRDefault="00737BE7">
      <w:pPr>
        <w:pStyle w:val="a8"/>
      </w:pPr>
      <w:r>
        <w:rPr>
          <w:rStyle w:val="a7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83472"/>
    <w:multiLevelType w:val="multilevel"/>
    <w:tmpl w:val="23483472"/>
    <w:lvl w:ilvl="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8527E"/>
    <w:multiLevelType w:val="multilevel"/>
    <w:tmpl w:val="29F85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458F7"/>
    <w:multiLevelType w:val="multilevel"/>
    <w:tmpl w:val="711458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303B4"/>
    <w:rsid w:val="00032535"/>
    <w:rsid w:val="0003682C"/>
    <w:rsid w:val="00042092"/>
    <w:rsid w:val="0004550B"/>
    <w:rsid w:val="000515E8"/>
    <w:rsid w:val="00061CB6"/>
    <w:rsid w:val="000620DF"/>
    <w:rsid w:val="00066DC8"/>
    <w:rsid w:val="000720D2"/>
    <w:rsid w:val="0008098E"/>
    <w:rsid w:val="000B627E"/>
    <w:rsid w:val="000B7CED"/>
    <w:rsid w:val="000D2F61"/>
    <w:rsid w:val="000E3FA3"/>
    <w:rsid w:val="000E4D23"/>
    <w:rsid w:val="000F3F50"/>
    <w:rsid w:val="000F43A8"/>
    <w:rsid w:val="00104C5A"/>
    <w:rsid w:val="00110F62"/>
    <w:rsid w:val="00113A67"/>
    <w:rsid w:val="001166B1"/>
    <w:rsid w:val="00120A0E"/>
    <w:rsid w:val="001268E8"/>
    <w:rsid w:val="00130C49"/>
    <w:rsid w:val="00132FF3"/>
    <w:rsid w:val="00136F00"/>
    <w:rsid w:val="0014155C"/>
    <w:rsid w:val="001673F5"/>
    <w:rsid w:val="001730E5"/>
    <w:rsid w:val="0017562E"/>
    <w:rsid w:val="00182CBD"/>
    <w:rsid w:val="00182E98"/>
    <w:rsid w:val="00184755"/>
    <w:rsid w:val="0018662E"/>
    <w:rsid w:val="001975F2"/>
    <w:rsid w:val="001A1765"/>
    <w:rsid w:val="001A53B1"/>
    <w:rsid w:val="001A571A"/>
    <w:rsid w:val="001A7CEE"/>
    <w:rsid w:val="001F6F7C"/>
    <w:rsid w:val="001F7CEC"/>
    <w:rsid w:val="002167EB"/>
    <w:rsid w:val="00221F64"/>
    <w:rsid w:val="00231862"/>
    <w:rsid w:val="00232045"/>
    <w:rsid w:val="00252C99"/>
    <w:rsid w:val="0025494A"/>
    <w:rsid w:val="00257D26"/>
    <w:rsid w:val="00260070"/>
    <w:rsid w:val="00263D0F"/>
    <w:rsid w:val="00266E92"/>
    <w:rsid w:val="0029217A"/>
    <w:rsid w:val="00293EA2"/>
    <w:rsid w:val="0029430C"/>
    <w:rsid w:val="002958C2"/>
    <w:rsid w:val="002A205B"/>
    <w:rsid w:val="002A3BB7"/>
    <w:rsid w:val="002A7E03"/>
    <w:rsid w:val="002B5F23"/>
    <w:rsid w:val="002C057A"/>
    <w:rsid w:val="002C51E7"/>
    <w:rsid w:val="002C5A76"/>
    <w:rsid w:val="002D03ED"/>
    <w:rsid w:val="002D42BC"/>
    <w:rsid w:val="0030714C"/>
    <w:rsid w:val="00315220"/>
    <w:rsid w:val="0033146E"/>
    <w:rsid w:val="00332DF8"/>
    <w:rsid w:val="003547A9"/>
    <w:rsid w:val="00356EAB"/>
    <w:rsid w:val="00360274"/>
    <w:rsid w:val="0037013B"/>
    <w:rsid w:val="00372ECE"/>
    <w:rsid w:val="00374F74"/>
    <w:rsid w:val="00375C1E"/>
    <w:rsid w:val="003935C8"/>
    <w:rsid w:val="00396ADA"/>
    <w:rsid w:val="003A2B4A"/>
    <w:rsid w:val="003B10DA"/>
    <w:rsid w:val="003C61F7"/>
    <w:rsid w:val="003C79F3"/>
    <w:rsid w:val="003D26B5"/>
    <w:rsid w:val="003D73CA"/>
    <w:rsid w:val="003F6EB8"/>
    <w:rsid w:val="00410C5A"/>
    <w:rsid w:val="00412A1F"/>
    <w:rsid w:val="00413FBE"/>
    <w:rsid w:val="004144A4"/>
    <w:rsid w:val="004257D6"/>
    <w:rsid w:val="00430062"/>
    <w:rsid w:val="00430C10"/>
    <w:rsid w:val="0043757B"/>
    <w:rsid w:val="004451C5"/>
    <w:rsid w:val="00446B00"/>
    <w:rsid w:val="00455241"/>
    <w:rsid w:val="00456A54"/>
    <w:rsid w:val="00485965"/>
    <w:rsid w:val="00487E66"/>
    <w:rsid w:val="004900D7"/>
    <w:rsid w:val="00493526"/>
    <w:rsid w:val="004A4041"/>
    <w:rsid w:val="004A4394"/>
    <w:rsid w:val="004B1C17"/>
    <w:rsid w:val="004C0680"/>
    <w:rsid w:val="004D680B"/>
    <w:rsid w:val="004D74C0"/>
    <w:rsid w:val="004E2926"/>
    <w:rsid w:val="005136F4"/>
    <w:rsid w:val="00516EF0"/>
    <w:rsid w:val="00530772"/>
    <w:rsid w:val="005407DB"/>
    <w:rsid w:val="00541504"/>
    <w:rsid w:val="0054205B"/>
    <w:rsid w:val="005426E0"/>
    <w:rsid w:val="005463BC"/>
    <w:rsid w:val="0057460A"/>
    <w:rsid w:val="00576020"/>
    <w:rsid w:val="0057637B"/>
    <w:rsid w:val="00580FE3"/>
    <w:rsid w:val="00592321"/>
    <w:rsid w:val="005A1291"/>
    <w:rsid w:val="005B3A80"/>
    <w:rsid w:val="005B66D5"/>
    <w:rsid w:val="005B7F21"/>
    <w:rsid w:val="005E5E21"/>
    <w:rsid w:val="0060576C"/>
    <w:rsid w:val="0061383D"/>
    <w:rsid w:val="006174D9"/>
    <w:rsid w:val="00625B14"/>
    <w:rsid w:val="00644823"/>
    <w:rsid w:val="00664204"/>
    <w:rsid w:val="00671E4B"/>
    <w:rsid w:val="006821CE"/>
    <w:rsid w:val="006B72AA"/>
    <w:rsid w:val="006E44A0"/>
    <w:rsid w:val="006E6F96"/>
    <w:rsid w:val="0072177F"/>
    <w:rsid w:val="00735504"/>
    <w:rsid w:val="00735839"/>
    <w:rsid w:val="00737BE7"/>
    <w:rsid w:val="00742808"/>
    <w:rsid w:val="00742A81"/>
    <w:rsid w:val="00743BB0"/>
    <w:rsid w:val="00766748"/>
    <w:rsid w:val="007869B1"/>
    <w:rsid w:val="007A5164"/>
    <w:rsid w:val="007B2FCE"/>
    <w:rsid w:val="007B5231"/>
    <w:rsid w:val="007C0932"/>
    <w:rsid w:val="007D0181"/>
    <w:rsid w:val="007E106C"/>
    <w:rsid w:val="007E5FE4"/>
    <w:rsid w:val="007E727C"/>
    <w:rsid w:val="007F0861"/>
    <w:rsid w:val="00801385"/>
    <w:rsid w:val="0080349B"/>
    <w:rsid w:val="00834DB3"/>
    <w:rsid w:val="00843C6C"/>
    <w:rsid w:val="00850368"/>
    <w:rsid w:val="00854194"/>
    <w:rsid w:val="0086153E"/>
    <w:rsid w:val="00862381"/>
    <w:rsid w:val="00864A14"/>
    <w:rsid w:val="00867860"/>
    <w:rsid w:val="0087255C"/>
    <w:rsid w:val="0088686C"/>
    <w:rsid w:val="00892FBA"/>
    <w:rsid w:val="008970E9"/>
    <w:rsid w:val="008A4C8A"/>
    <w:rsid w:val="008B07BE"/>
    <w:rsid w:val="008C6DD4"/>
    <w:rsid w:val="008D35A3"/>
    <w:rsid w:val="008D4194"/>
    <w:rsid w:val="008D7D75"/>
    <w:rsid w:val="008E1C0A"/>
    <w:rsid w:val="008E7742"/>
    <w:rsid w:val="008F79E2"/>
    <w:rsid w:val="00901B84"/>
    <w:rsid w:val="00920EF3"/>
    <w:rsid w:val="009223AA"/>
    <w:rsid w:val="00930497"/>
    <w:rsid w:val="00941BF9"/>
    <w:rsid w:val="00944434"/>
    <w:rsid w:val="00952C79"/>
    <w:rsid w:val="00957922"/>
    <w:rsid w:val="009810EF"/>
    <w:rsid w:val="00987560"/>
    <w:rsid w:val="00995F24"/>
    <w:rsid w:val="009B7A75"/>
    <w:rsid w:val="009D2825"/>
    <w:rsid w:val="009E3EE0"/>
    <w:rsid w:val="009E5672"/>
    <w:rsid w:val="009E5F37"/>
    <w:rsid w:val="009F2C13"/>
    <w:rsid w:val="009F4127"/>
    <w:rsid w:val="00A01914"/>
    <w:rsid w:val="00A04F83"/>
    <w:rsid w:val="00A1443E"/>
    <w:rsid w:val="00A15570"/>
    <w:rsid w:val="00A27E08"/>
    <w:rsid w:val="00A35E2E"/>
    <w:rsid w:val="00A36752"/>
    <w:rsid w:val="00A36AFE"/>
    <w:rsid w:val="00A37EF4"/>
    <w:rsid w:val="00A427A2"/>
    <w:rsid w:val="00A72649"/>
    <w:rsid w:val="00A7502D"/>
    <w:rsid w:val="00A81EA0"/>
    <w:rsid w:val="00A84B99"/>
    <w:rsid w:val="00A85032"/>
    <w:rsid w:val="00A96186"/>
    <w:rsid w:val="00A9647C"/>
    <w:rsid w:val="00AA100B"/>
    <w:rsid w:val="00AB1F1F"/>
    <w:rsid w:val="00AB66E5"/>
    <w:rsid w:val="00AC2E4C"/>
    <w:rsid w:val="00AE15DB"/>
    <w:rsid w:val="00AE1951"/>
    <w:rsid w:val="00AE7893"/>
    <w:rsid w:val="00AF2383"/>
    <w:rsid w:val="00B03229"/>
    <w:rsid w:val="00B03D5D"/>
    <w:rsid w:val="00B06D40"/>
    <w:rsid w:val="00B172D6"/>
    <w:rsid w:val="00B20E9A"/>
    <w:rsid w:val="00B23182"/>
    <w:rsid w:val="00B24343"/>
    <w:rsid w:val="00B40A91"/>
    <w:rsid w:val="00B42280"/>
    <w:rsid w:val="00B53F5E"/>
    <w:rsid w:val="00B60040"/>
    <w:rsid w:val="00B84516"/>
    <w:rsid w:val="00B94998"/>
    <w:rsid w:val="00B954E7"/>
    <w:rsid w:val="00BA4358"/>
    <w:rsid w:val="00BC1099"/>
    <w:rsid w:val="00BC127F"/>
    <w:rsid w:val="00BC50C5"/>
    <w:rsid w:val="00BC7262"/>
    <w:rsid w:val="00BE4996"/>
    <w:rsid w:val="00BF3655"/>
    <w:rsid w:val="00BF5AF6"/>
    <w:rsid w:val="00C03A0F"/>
    <w:rsid w:val="00C042CC"/>
    <w:rsid w:val="00C34E6B"/>
    <w:rsid w:val="00C351CA"/>
    <w:rsid w:val="00C40953"/>
    <w:rsid w:val="00C44D1F"/>
    <w:rsid w:val="00C4649F"/>
    <w:rsid w:val="00C475F0"/>
    <w:rsid w:val="00C7126F"/>
    <w:rsid w:val="00C77D7A"/>
    <w:rsid w:val="00CA0134"/>
    <w:rsid w:val="00CA6AA2"/>
    <w:rsid w:val="00CD075A"/>
    <w:rsid w:val="00D1733F"/>
    <w:rsid w:val="00D22771"/>
    <w:rsid w:val="00D2419C"/>
    <w:rsid w:val="00D31D83"/>
    <w:rsid w:val="00D31DF8"/>
    <w:rsid w:val="00D3332A"/>
    <w:rsid w:val="00D3351A"/>
    <w:rsid w:val="00D404F9"/>
    <w:rsid w:val="00D505E9"/>
    <w:rsid w:val="00D52419"/>
    <w:rsid w:val="00D5396E"/>
    <w:rsid w:val="00D578FA"/>
    <w:rsid w:val="00D601DA"/>
    <w:rsid w:val="00D64C8E"/>
    <w:rsid w:val="00D7410E"/>
    <w:rsid w:val="00D81FD9"/>
    <w:rsid w:val="00D851AD"/>
    <w:rsid w:val="00D91883"/>
    <w:rsid w:val="00D91CF4"/>
    <w:rsid w:val="00DA25F5"/>
    <w:rsid w:val="00DB53A8"/>
    <w:rsid w:val="00DB6B2F"/>
    <w:rsid w:val="00DC1385"/>
    <w:rsid w:val="00DD64F8"/>
    <w:rsid w:val="00DD7D97"/>
    <w:rsid w:val="00E22F5A"/>
    <w:rsid w:val="00E25A71"/>
    <w:rsid w:val="00E41784"/>
    <w:rsid w:val="00E6062E"/>
    <w:rsid w:val="00E63ADD"/>
    <w:rsid w:val="00E96774"/>
    <w:rsid w:val="00EA09DC"/>
    <w:rsid w:val="00EB13FD"/>
    <w:rsid w:val="00EC15E8"/>
    <w:rsid w:val="00EC557A"/>
    <w:rsid w:val="00ED2496"/>
    <w:rsid w:val="00EE4553"/>
    <w:rsid w:val="00EF4F5A"/>
    <w:rsid w:val="00F16EDF"/>
    <w:rsid w:val="00F2612C"/>
    <w:rsid w:val="00F3221C"/>
    <w:rsid w:val="00F46F05"/>
    <w:rsid w:val="00F60DFC"/>
    <w:rsid w:val="00F7309C"/>
    <w:rsid w:val="00F7797F"/>
    <w:rsid w:val="00F818F5"/>
    <w:rsid w:val="00F927B4"/>
    <w:rsid w:val="00F953B0"/>
    <w:rsid w:val="00FA0448"/>
    <w:rsid w:val="00FC0739"/>
    <w:rsid w:val="00FC596A"/>
    <w:rsid w:val="00FE04A3"/>
    <w:rsid w:val="00FF1F84"/>
    <w:rsid w:val="04CF0D6D"/>
    <w:rsid w:val="247F7E85"/>
    <w:rsid w:val="3EB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C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C042C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C042CC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rsid w:val="00C042CC"/>
    <w:pPr>
      <w:spacing w:after="120" w:line="480" w:lineRule="auto"/>
    </w:pPr>
    <w:rPr>
      <w:lang w:val="zh-CN" w:eastAsia="zh-CN"/>
    </w:rPr>
  </w:style>
  <w:style w:type="character" w:styleId="a7">
    <w:name w:val="footnote reference"/>
    <w:basedOn w:val="a0"/>
    <w:uiPriority w:val="99"/>
    <w:semiHidden/>
    <w:unhideWhenUsed/>
    <w:qFormat/>
    <w:rsid w:val="00C042C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rsid w:val="00C042CC"/>
    <w:rPr>
      <w:sz w:val="20"/>
      <w:szCs w:val="20"/>
    </w:rPr>
  </w:style>
  <w:style w:type="character" w:styleId="aa">
    <w:name w:val="Hyperlink"/>
    <w:uiPriority w:val="99"/>
    <w:unhideWhenUsed/>
    <w:rsid w:val="00C042CC"/>
    <w:rPr>
      <w:color w:val="0000FF"/>
      <w:u w:val="single"/>
    </w:rPr>
  </w:style>
  <w:style w:type="paragraph" w:styleId="ab">
    <w:name w:val="Normal (Web)"/>
    <w:basedOn w:val="a"/>
    <w:qFormat/>
    <w:rsid w:val="00C042CC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1"/>
    <w:qFormat/>
    <w:rsid w:val="00C042CC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d">
    <w:name w:val="Название Знак"/>
    <w:basedOn w:val="a0"/>
    <w:uiPriority w:val="10"/>
    <w:rsid w:val="00C042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rsid w:val="00C042CC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C042CC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C042CC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C042C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sid w:val="00C042C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.Основной текст Знак"/>
    <w:basedOn w:val="a"/>
    <w:uiPriority w:val="99"/>
    <w:qFormat/>
    <w:rsid w:val="00C042CC"/>
    <w:pPr>
      <w:spacing w:after="120"/>
    </w:pPr>
  </w:style>
  <w:style w:type="paragraph" w:styleId="af">
    <w:name w:val="No Spacing"/>
    <w:link w:val="af0"/>
    <w:uiPriority w:val="99"/>
    <w:qFormat/>
    <w:rsid w:val="00C042CC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qFormat/>
    <w:locked/>
    <w:rsid w:val="00C042CC"/>
    <w:rPr>
      <w:rFonts w:ascii="Calibri" w:eastAsia="Times New Roman" w:hAnsi="Calibri" w:cs="Arial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C04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042CC"/>
    <w:pPr>
      <w:ind w:left="720"/>
      <w:contextualSpacing/>
    </w:pPr>
  </w:style>
  <w:style w:type="character" w:customStyle="1" w:styleId="blk">
    <w:name w:val="blk"/>
    <w:basedOn w:val="a0"/>
    <w:qFormat/>
    <w:rsid w:val="00C042CC"/>
  </w:style>
  <w:style w:type="character" w:customStyle="1" w:styleId="nobr">
    <w:name w:val="nobr"/>
    <w:basedOn w:val="a0"/>
    <w:qFormat/>
    <w:rsid w:val="00C042CC"/>
  </w:style>
  <w:style w:type="character" w:customStyle="1" w:styleId="a4">
    <w:name w:val="Текст выноски Знак"/>
    <w:basedOn w:val="a0"/>
    <w:link w:val="a3"/>
    <w:semiHidden/>
    <w:qFormat/>
    <w:rsid w:val="00C042C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qFormat/>
    <w:rsid w:val="00C042C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Normal (Web)"/>
    <w:basedOn w:val="a"/>
    <w:qFormat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d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.Основной текст Знак"/>
    <w:basedOn w:val="a"/>
    <w:uiPriority w:val="99"/>
    <w:qFormat/>
    <w:pPr>
      <w:spacing w:after="120"/>
    </w:pPr>
  </w:style>
  <w:style w:type="paragraph" w:styleId="af">
    <w:name w:val="No Spacing"/>
    <w:link w:val="af0"/>
    <w:uiPriority w:val="99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qFormat/>
    <w:locked/>
    <w:rPr>
      <w:rFonts w:ascii="Calibri" w:eastAsia="Times New Roman" w:hAnsi="Calibri" w:cs="Arial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FC8F8-37C5-4504-ADD5-B448ABA5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1604</Words>
  <Characters>9147</Characters>
  <Application>Microsoft Office Word</Application>
  <DocSecurity>0</DocSecurity>
  <Lines>76</Lines>
  <Paragraphs>21</Paragraphs>
  <ScaleCrop>false</ScaleCrop>
  <Company>Krokoz™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5</cp:revision>
  <cp:lastPrinted>2023-08-12T09:04:00Z</cp:lastPrinted>
  <dcterms:created xsi:type="dcterms:W3CDTF">2021-09-02T08:57:00Z</dcterms:created>
  <dcterms:modified xsi:type="dcterms:W3CDTF">2023-08-12T09:05:00Z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